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EF76BE"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8936"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EF76BE" w:rsidP="00B3014B">
            <w:pPr>
              <w:pStyle w:val="BodyText2"/>
              <w:jc w:val="center"/>
              <w:rPr>
                <w:rFonts w:cs="Arial"/>
                <w:b/>
                <w:bCs/>
                <w:sz w:val="36"/>
                <w:szCs w:val="36"/>
              </w:rPr>
            </w:pPr>
            <w:r>
              <w:rPr>
                <w:rFonts w:cs="Arial"/>
                <w:b/>
                <w:bCs/>
                <w:sz w:val="36"/>
                <w:szCs w:val="36"/>
              </w:rPr>
              <w:t>CONSTRUCTION OF STORMWATER PIPES-MALEBOGO, MAMELODI AND NKOMO STREETS</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EF76BE">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EF76BE">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EF76BE">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EF76BE">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EF76BE">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EF76BE">
                  <w:pPr>
                    <w:framePr w:hSpace="180" w:wrap="around" w:vAnchor="page" w:hAnchor="margin" w:y="2236"/>
                  </w:pPr>
                </w:p>
              </w:tc>
            </w:tr>
            <w:tr w:rsidR="00B3014B" w:rsidTr="00B3014B">
              <w:tc>
                <w:tcPr>
                  <w:tcW w:w="720" w:type="dxa"/>
                </w:tcPr>
                <w:p w:rsidR="00B3014B" w:rsidRDefault="00B3014B" w:rsidP="00EF76BE">
                  <w:pPr>
                    <w:pStyle w:val="Header"/>
                    <w:framePr w:hSpace="180" w:wrap="around" w:vAnchor="page" w:hAnchor="margin" w:y="2236"/>
                    <w:rPr>
                      <w:rFonts w:ascii="Arial" w:hAnsi="Arial" w:cs="Arial"/>
                      <w:b/>
                      <w:bCs/>
                    </w:rPr>
                  </w:pPr>
                </w:p>
              </w:tc>
              <w:tc>
                <w:tcPr>
                  <w:tcW w:w="3722" w:type="dxa"/>
                  <w:gridSpan w:val="2"/>
                </w:tcPr>
                <w:p w:rsidR="00B3014B" w:rsidRDefault="00B3014B" w:rsidP="00EF76BE">
                  <w:pPr>
                    <w:pStyle w:val="Header"/>
                    <w:framePr w:hSpace="180" w:wrap="around" w:vAnchor="page" w:hAnchor="margin" w:y="2236"/>
                    <w:rPr>
                      <w:rFonts w:ascii="Arial" w:hAnsi="Arial" w:cs="Arial"/>
                      <w:b/>
                      <w:bCs/>
                    </w:rPr>
                  </w:pPr>
                </w:p>
              </w:tc>
              <w:tc>
                <w:tcPr>
                  <w:tcW w:w="4442" w:type="dxa"/>
                </w:tcPr>
                <w:p w:rsidR="00B3014B" w:rsidRDefault="00B3014B" w:rsidP="00EF76BE">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EF76BE">
                  <w:pPr>
                    <w:pStyle w:val="Header"/>
                    <w:framePr w:hSpace="180" w:wrap="around" w:vAnchor="page" w:hAnchor="margin" w:y="2236"/>
                    <w:rPr>
                      <w:rFonts w:ascii="Arial" w:hAnsi="Arial" w:cs="Arial"/>
                    </w:rPr>
                  </w:pPr>
                </w:p>
              </w:tc>
              <w:tc>
                <w:tcPr>
                  <w:tcW w:w="3722" w:type="dxa"/>
                  <w:gridSpan w:val="2"/>
                </w:tcPr>
                <w:p w:rsidR="00B3014B" w:rsidRDefault="00B3014B" w:rsidP="00EF76BE">
                  <w:pPr>
                    <w:pStyle w:val="Header"/>
                    <w:framePr w:hSpace="180" w:wrap="around" w:vAnchor="page" w:hAnchor="margin" w:y="2236"/>
                    <w:rPr>
                      <w:rFonts w:ascii="Arial" w:hAnsi="Arial" w:cs="Arial"/>
                    </w:rPr>
                  </w:pPr>
                </w:p>
              </w:tc>
              <w:tc>
                <w:tcPr>
                  <w:tcW w:w="4442" w:type="dxa"/>
                </w:tcPr>
                <w:p w:rsidR="00B3014B" w:rsidRDefault="00B3014B" w:rsidP="00EF76BE">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Whenever the principal contractor appoints contractors or sub-contractors, It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Occupational health and safety liaison between the client, the principal contractor, the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r>
        <w:rPr>
          <w:rFonts w:cs="Arial"/>
          <w:sz w:val="22"/>
        </w:rPr>
        <w:t>or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in a permanent flammable store are stored so that no fire or explosion is caused.: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Other electrical appliances such as fridges, hotplates, heaters, etcetera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w:t>
      </w:r>
      <w:r>
        <w:rPr>
          <w:rFonts w:ascii="Arial" w:hAnsi="Arial" w:cs="Arial"/>
          <w:sz w:val="22"/>
        </w:rPr>
        <w:lastRenderedPageBreak/>
        <w:t xml:space="preserve">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 xml:space="preserve">Where excavations will exceed 1,5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lastRenderedPageBreak/>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t>Every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t>The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t>Every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t>The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t>Every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t>Upon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lastRenderedPageBreak/>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 xml:space="preserve">Where the stability of an adjoining building, structure or road is likely to be affected by demolition work on a structure, take such steps as </w:t>
      </w:r>
      <w:r>
        <w:lastRenderedPageBreak/>
        <w:t>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r>
        <w:t>is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lastRenderedPageBreak/>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lastRenderedPageBreak/>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 xml:space="preserve">All available manholes or ventilation covers must be removed and the compartment ventilated for 10 (ten) to 15 (fifteen) minutes, using </w:t>
      </w:r>
      <w:r>
        <w:rPr>
          <w:rFonts w:cs="Arial"/>
        </w:rPr>
        <w:lastRenderedPageBreak/>
        <w:t>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w:t>
      </w:r>
      <w:r>
        <w:rPr>
          <w:rFonts w:cs="Arial"/>
        </w:rPr>
        <w:lastRenderedPageBreak/>
        <w:t>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lastRenderedPageBreak/>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lastRenderedPageBreak/>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 xml:space="preserve">The principal contractor has to demonstrate to the Client that it has developed a suitable and sufficiently documented occupational health and </w:t>
      </w:r>
      <w:r>
        <w:rPr>
          <w:rFonts w:cs="Arial"/>
          <w:color w:val="000000"/>
          <w:sz w:val="22"/>
        </w:rPr>
        <w:lastRenderedPageBreak/>
        <w:t>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lastRenderedPageBreak/>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lastRenderedPageBreak/>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lastRenderedPageBreak/>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8934"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lastRenderedPageBreak/>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8935"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r>
      <w:r>
        <w:rPr>
          <w:rFonts w:ascii="Arial" w:hAnsi="Arial" w:cs="Arial"/>
          <w:b/>
          <w:bCs/>
          <w:sz w:val="22"/>
        </w:rPr>
        <w:lastRenderedPageBreak/>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lastRenderedPageBreak/>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 xml:space="preserve">Readily available for perusal by all </w:t>
            </w:r>
            <w:r>
              <w:rPr>
                <w:rFonts w:ascii="Arial" w:hAnsi="Arial" w:cs="Arial"/>
              </w:rPr>
              <w:lastRenderedPageBreak/>
              <w:t>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 xml:space="preserve">COID Act Section </w:t>
            </w:r>
            <w:r>
              <w:rPr>
                <w:rFonts w:ascii="Arial" w:hAnsi="Arial" w:cs="Arial"/>
              </w:rPr>
              <w:lastRenderedPageBreak/>
              <w:t>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lastRenderedPageBreak/>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lastRenderedPageBreak/>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lastRenderedPageBreak/>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lastRenderedPageBreak/>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lastRenderedPageBreak/>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lastRenderedPageBreak/>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lastRenderedPageBreak/>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 xml:space="preserve">Competent person appointed in writing to supervise the erection and inspection </w:t>
            </w:r>
            <w:r>
              <w:rPr>
                <w:rFonts w:ascii="Arial" w:hAnsi="Arial" w:cs="Arial"/>
              </w:rPr>
              <w:lastRenderedPageBreak/>
              <w:t>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Hearing </w:t>
            </w:r>
            <w:r>
              <w:rPr>
                <w:rFonts w:ascii="Arial" w:hAnsi="Arial" w:cs="Arial"/>
                <w:b/>
              </w:rPr>
              <w:lastRenderedPageBreak/>
              <w:t>protection</w:t>
            </w:r>
          </w:p>
        </w:tc>
        <w:tc>
          <w:tcPr>
            <w:tcW w:w="6184" w:type="dxa"/>
          </w:tcPr>
          <w:p w:rsidR="00B51999" w:rsidRDefault="00B51999">
            <w:pPr>
              <w:rPr>
                <w:rFonts w:ascii="Arial" w:hAnsi="Arial" w:cs="Arial"/>
              </w:rPr>
            </w:pPr>
            <w:r>
              <w:rPr>
                <w:rFonts w:ascii="Arial" w:hAnsi="Arial" w:cs="Arial"/>
              </w:rPr>
              <w:lastRenderedPageBreak/>
              <w:t xml:space="preserve">Hearing Protectors (such as muffs, plugs) used when operating the </w:t>
            </w:r>
            <w:r>
              <w:rPr>
                <w:rFonts w:ascii="Arial" w:hAnsi="Arial" w:cs="Arial"/>
              </w:rPr>
              <w:lastRenderedPageBreak/>
              <w:t>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lastRenderedPageBreak/>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lastRenderedPageBreak/>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lastRenderedPageBreak/>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lastRenderedPageBreak/>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w:t>
            </w:r>
            <w:r>
              <w:rPr>
                <w:rFonts w:ascii="Arial" w:hAnsi="Arial" w:cs="Arial"/>
                <w:b/>
              </w:rPr>
              <w:lastRenderedPageBreak/>
              <w:t xml:space="preserve">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lastRenderedPageBreak/>
              <w:t>Only authorised and trained persons use the equipment.</w:t>
            </w:r>
          </w:p>
          <w:p w:rsidR="00B51999" w:rsidRDefault="00B51999">
            <w:pPr>
              <w:rPr>
                <w:rFonts w:ascii="Arial" w:hAnsi="Arial" w:cs="Arial"/>
              </w:rPr>
            </w:pPr>
            <w:r>
              <w:rPr>
                <w:rFonts w:ascii="Arial" w:hAnsi="Arial" w:cs="Arial"/>
              </w:rPr>
              <w:lastRenderedPageBreak/>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lastRenderedPageBreak/>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 xml:space="preserve">Changing facilities or area provided for men and women </w:t>
            </w:r>
            <w:r>
              <w:rPr>
                <w:rFonts w:ascii="Arial" w:hAnsi="Arial" w:cs="Arial"/>
              </w:rPr>
              <w:lastRenderedPageBreak/>
              <w:t>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r>
      <w:r>
        <w:rPr>
          <w:rFonts w:cs="Arial"/>
          <w:sz w:val="22"/>
          <w:szCs w:val="22"/>
        </w:rPr>
        <w:lastRenderedPageBreak/>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lastRenderedPageBreak/>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lastRenderedPageBreak/>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lastRenderedPageBreak/>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lastRenderedPageBreak/>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lastRenderedPageBreak/>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lastRenderedPageBreak/>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lastRenderedPageBreak/>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EF76BE">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EF76BE">
      <w:rPr>
        <w:noProof/>
        <w:sz w:val="24"/>
        <w:szCs w:val="24"/>
      </w:rPr>
      <w:t>21</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EF76BE"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EF76BE"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74738"/>
    <w:rsid w:val="00CC56D2"/>
    <w:rsid w:val="00CE2C67"/>
    <w:rsid w:val="00D11EDC"/>
    <w:rsid w:val="00E03BC4"/>
    <w:rsid w:val="00E154B6"/>
    <w:rsid w:val="00E22009"/>
    <w:rsid w:val="00EC34E6"/>
    <w:rsid w:val="00ED4441"/>
    <w:rsid w:val="00EF730D"/>
    <w:rsid w:val="00EF76BE"/>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161B2-BE52-409D-A5D3-7AAE114F7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92</Pages>
  <Words>25682</Words>
  <Characters>146394</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2016-06-28T23:10:00Z</dcterms:modified>
</cp:coreProperties>
</file>